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contextualSpacing/>
        <w:ind w:firstLine="0"/>
        <w:jc w:val="center"/>
        <w:spacing w:before="67" w:line="240" w:lineRule="auto"/>
        <w:widowControl/>
        <w:rPr>
          <w:rStyle w:val="910"/>
          <w:rFonts w:ascii="Tinos" w:hAnsi="Tinos" w:eastAsia="Tinos" w:cs="Tinos"/>
          <w:b w:val="0"/>
          <w:bCs w:val="0"/>
          <w:sz w:val="24"/>
          <w:szCs w:val="24"/>
          <w:highlight w:val="none"/>
        </w:rPr>
      </w:pP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ОТЧЕТ</w:t>
      </w:r>
      <w:r>
        <w:rPr>
          <w:rStyle w:val="910"/>
          <w:rFonts w:ascii="Tinos" w:hAnsi="Tinos" w:eastAsia="Tinos" w:cs="Tinos"/>
          <w:b w:val="0"/>
          <w:bCs w:val="0"/>
          <w:sz w:val="24"/>
          <w:szCs w:val="24"/>
          <w:highlight w:val="none"/>
        </w:rPr>
      </w:r>
      <w:r>
        <w:rPr>
          <w:rStyle w:val="910"/>
          <w:rFonts w:ascii="Tinos" w:hAnsi="Tinos" w:eastAsia="Tinos" w:cs="Tinos"/>
          <w:b w:val="0"/>
          <w:bCs w:val="0"/>
          <w:sz w:val="24"/>
          <w:szCs w:val="24"/>
          <w:highlight w:val="none"/>
        </w:rPr>
      </w:r>
    </w:p>
    <w:p>
      <w:pPr>
        <w:pStyle w:val="911"/>
        <w:contextualSpacing/>
        <w:spacing w:line="240" w:lineRule="auto"/>
        <w:widowControl/>
        <w:rPr>
          <w:rFonts w:ascii="Tinos" w:hAnsi="Tinos" w:cs="Tinos"/>
          <w:b w:val="0"/>
          <w:bCs/>
          <w:sz w:val="24"/>
          <w:szCs w:val="24"/>
        </w:rPr>
      </w:pP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 </w:t>
      </w: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об исполнении </w:t>
      </w:r>
      <w:bookmarkStart w:id="0" w:name="undefined"/>
      <w:r>
        <w:rPr>
          <w:rFonts w:ascii="Tinos" w:hAnsi="Tinos" w:eastAsia="Tinos" w:cs="Tinos"/>
          <w:sz w:val="24"/>
          <w:szCs w:val="24"/>
        </w:rPr>
      </w:r>
      <w:bookmarkEnd w:id="0"/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плана </w:t>
      </w: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по противодействию коррупции в комитете внутреннего государственного финансового контроля Оренбургской области на 2025 – 2029 годы</w:t>
      </w: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 за </w:t>
      </w: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первое полугодие 2025</w:t>
      </w: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 год</w:t>
      </w:r>
      <w:r>
        <w:rPr>
          <w:rStyle w:val="910"/>
          <w:rFonts w:ascii="Tinos" w:hAnsi="Tinos" w:eastAsia="Tinos" w:cs="Tinos"/>
          <w:b w:val="0"/>
          <w:bCs/>
          <w:sz w:val="24"/>
          <w:szCs w:val="24"/>
        </w:rPr>
        <w:t xml:space="preserve">а</w:t>
      </w:r>
      <w:r>
        <w:rPr>
          <w:rFonts w:ascii="Tinos" w:hAnsi="Tinos" w:cs="Tinos"/>
          <w:b w:val="0"/>
          <w:bCs/>
          <w:sz w:val="24"/>
          <w:szCs w:val="24"/>
        </w:rPr>
      </w:r>
      <w:r>
        <w:rPr>
          <w:rFonts w:ascii="Tinos" w:hAnsi="Tinos" w:cs="Tinos"/>
          <w:b w:val="0"/>
          <w:bCs/>
          <w:sz w:val="24"/>
          <w:szCs w:val="24"/>
        </w:rPr>
      </w:r>
    </w:p>
    <w:p>
      <w:pPr>
        <w:contextualSpacing/>
        <w:jc w:val="center"/>
        <w:spacing w:line="240" w:lineRule="auto"/>
        <w:shd w:val="clear" w:color="auto" w:fill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tbl>
      <w:tblPr>
        <w:tblStyle w:val="900"/>
        <w:tblW w:w="14885" w:type="dxa"/>
        <w:tblInd w:w="-147" w:type="dxa"/>
        <w:tblLook w:val="04A0" w:firstRow="1" w:lastRow="0" w:firstColumn="1" w:lastColumn="0" w:noHBand="0" w:noVBand="1"/>
      </w:tblPr>
      <w:tblGrid>
        <w:gridCol w:w="709"/>
        <w:gridCol w:w="6237"/>
        <w:gridCol w:w="2410"/>
        <w:gridCol w:w="2410"/>
        <w:gridCol w:w="3119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Наименование мероприятия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Срок исполнения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Ответственный исполнитель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Информация об исполнении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tcW w:w="1488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Нормативное правовое регулирование антикоррупционной деятельности.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Антикоррупционная экспертиза нормативных правовых актов и их проектов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мониторинга законодательства Оренбургско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области, регулирующего правоотношения в сфере противодействия коррупции, в целях выявления правовых актов, требующих приведения в соответствие с федеральным законодательством в связи с его изменениями, а также устранения пробелов в правовом регулировании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1 раз в полугодие,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не позднее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15 числа месяца, следующего за отчетным периодом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тдел правового обеспечения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07"/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Приказ комитета внутреннего государственного финансового контроля Оренбургской области               от 28 февраля 2025 года         № 23-од «Об утверждении программы противодействия коррупции в комитете внутреннего государственного финансового контроля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907"/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Оренбургской области на 2025 – 2029 годы»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антикоррупционной экспертизы проектов нормати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вных правовых актов комитета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тдел правового обеспечения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первом полугодии 2025 года нормативные правовые акты не принимались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Размещение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на сайте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regulation.orb.ru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в информационно-телекоммуникационной сети «Интернет» проектов нормативных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правовых актов для проведения их независимой антикоррупционной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экспертизы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30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тдел правового обеспечения,  отдел экспертно-аналитической и методической работы,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Проекты НПА размещаются на Федеральном портале проектов нормативных правовых актов (https://regulation.gov.ru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/), официальном сайте комитета внутреннего государственного финансового контроля Оренбургской области (далее – комитет)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59"/>
        </w:trPr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Размещение проектов нормативных правовых актов на официальном сайте в информационно-телекоммуникационной сети «Интернет» комитета в целях обеспечения возможности проведения независимой антикоррупционной экспертизы проектов нормативных правовых актов 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30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488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II. Организационно-управленческие меры по обеспечению антикоррупционной деятельности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анализа соблюдения запретов, ограничений, и требований, установленных в целях противодействия коррупции, в том числе касающихся выполнения иной оплачиваемой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октября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В соответствии с требованиями антикоррупционного законодательства в первом полугодии 2025 года государственными гражданскими служащими комитета представлено 1 уведомления о намерении выполнять иную оплачиваемую работу (о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существление преподавательской деятельности).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 результатам анализа признаков возникновения конфликта интересов не выявлено.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Уведомлений о получения подарков отдельными категориями лиц, фактах обращения в целях склонения государственного гражданского служащего комитета к совершению коррупционных правонарушений в отчетном периоде не поступало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Обеспечение контроля за применением предусмотренных законодательством мер юридической ответственности в случаях несоблюдения запретов, ограничений и требований, установленных в целях противодействия коррупции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государственными гражданскими служащими комитета проводится разъяснительная беседа по вопросу реализации требований федеральных и региональных законов и других нормативно-правовых актов, регулирующих правоотношения в области противодействия коррупции, а 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акже недопущения любой возможности возникновения конфликта интересов.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Случаев возникновения конфликта интересов, одной из сторон которого являются государственные гражданские служащие комитета, в первом полугодии 2025 года не выявлено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роведение тестирования служащих комитета по оценке знаний  антикоррупционного законодательства, в том числе запретов, ограничений и требований, установленных в целях противодействия коррупции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ноября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Тестирование служащих комитета по оценке знаний  антикоррупционного законодательства, в том числе запретов, ограничений и требований, установленных в целях проти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водействия коррупции,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в первом полугодии 2025 года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л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ь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Осуществление контроля за соблюдением лицами, замещающими должности государственной гражданской службы, требований об уведомлении о получении подарка в связи с исполнением служебных (должностных) обязанностей, о сдаче подарка.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Разъяснение служащим комитета о зап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рете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иных вознаграждений), а также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порядка действий при получении подарка в связи с протокольными мероприятиями, со служебными командировками и с другими официальными мероприятиями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shd w:val="clear" w:color="auto" w:fill="auto"/>
              <w:tabs>
                <w:tab w:val="left" w:pos="1276" w:leader="none"/>
              </w:tabs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r>
              <w:rPr>
                <w:rFonts w:ascii="Tinos" w:hAnsi="Tinos" w:cs="Tinos"/>
                <w:sz w:val="24"/>
                <w:szCs w:val="24"/>
              </w:rPr>
              <w:t xml:space="preserve">Г</w:t>
            </w:r>
            <w:r>
              <w:rPr>
                <w:rFonts w:ascii="Tinos" w:hAnsi="Tinos" w:cs="Tinos"/>
                <w:sz w:val="24"/>
                <w:szCs w:val="24"/>
              </w:rPr>
              <w:t xml:space="preserve">осударственные гражданские служащие комитета ознакомлены с приказом комитета                от 27 мая 2020 № 50-од                  «О мерах по реализации постановления Правительства Оренбургской области                от 2 апреля 2014 года              № </w:t>
            </w:r>
            <w:r>
              <w:rPr>
                <w:rFonts w:ascii="Tinos" w:hAnsi="Tinos" w:cs="Tinos"/>
                <w:sz w:val="24"/>
                <w:szCs w:val="24"/>
              </w:rPr>
              <w:t xml:space="preserve">1</w:t>
            </w:r>
            <w:r>
              <w:rPr>
                <w:rFonts w:ascii="Tinos" w:hAnsi="Tinos" w:cs="Tinos"/>
                <w:sz w:val="24"/>
                <w:szCs w:val="24"/>
              </w:rPr>
              <w:t xml:space="preserve">89-п» (о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</w:t>
            </w:r>
            <w:r>
              <w:rPr>
                <w:rFonts w:ascii="Tinos" w:hAnsi="Tinos" w:cs="Tinos"/>
                <w:sz w:val="24"/>
                <w:szCs w:val="24"/>
              </w:rPr>
              <w:t xml:space="preserve">и зачислении средств, вырученных от его реализации).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Фактов получения подарков государственными гражданскими служащими комитета в первом полугодии 2025 года не выявлено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Принятие мер по повышению эффективности кадровой работы в части, касающейся ведения личных дел служащих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комитета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, в том числе контроля за актуализацией сведений, содержащихся в анкетах, представляемых при назначении и поступлении на государственную гражданскую службу, об их родственниках и свойственниках в целях выявления возможного конфликта интересов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r>
              <w:rPr>
                <w:rFonts w:ascii="Tinos" w:hAnsi="Tinos" w:cs="Tinos"/>
                <w:sz w:val="24"/>
                <w:szCs w:val="24"/>
              </w:rPr>
              <w:t xml:space="preserve">В первом полугодии                2025 года проведена актуализация анкет государственных гражданских служащих, а также уточнены сведения об их родственниках и свойственниках. 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Признаков возникновения конфликта интересов не выявлено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оценки коррупционных рисков, возникающих при осуществлении служащими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комитета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своих функций и внесение уточнений в перечни должностей государственной гражданской службы комитета, замещение которых связано с коррупционными рисками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5 декабря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 результатам анализа, оснований для внесения изменений в утвержденные перечни коррупционно опасных должностей не требуется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со служащими комитета профилактических бесед, в рамках которых устанавливается наличие у данных лиц личных интересов, которые могут воспрепятстовать объективному выполнению ими должностных обязанностей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shd w:val="clear" w:color="auto" w:fill="auto"/>
              <w:tabs>
                <w:tab w:val="left" w:pos="1276" w:leader="none"/>
              </w:tabs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15 ноября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r>
              <w:rPr>
                <w:rFonts w:ascii="Tinos" w:hAnsi="Tinos" w:eastAsia="Tinos" w:cs="Tinos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государственными гражданскими служащими комитета проводится разъяснительная беседа по вопросу реализации требований федеральных и региональных законов и других нормативно-правовых актов, регулирующих правоотношения в области противодействия коррупции, а 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акже недопущения любой возможности возникновения конфликта интересов.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/>
          </w:p>
          <w:p>
            <w:r>
              <w:rPr>
                <w:rFonts w:ascii="Tinos" w:hAnsi="Tinos" w:eastAsia="Tinos" w:cs="Tinos"/>
                <w:sz w:val="24"/>
                <w:szCs w:val="24"/>
              </w:rPr>
              <w:t xml:space="preserve">Г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осударственные гражданские служащие комитета, участвующие в контрольных мероприятиях (проверки, ревизии, обследования), предоставляют Уведомление об отсутствии личной заинтересованности, которая приводит или может привести к возникновению конфликта интерес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ов при исполнении должностных обязанностей государственного гражданского служащего комитета (приказ комитета         от 6 февраля 2024 года            № 19-од).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/>
          </w:p>
          <w:p>
            <w:r>
              <w:rPr>
                <w:rFonts w:ascii="Tinos" w:hAnsi="Tinos" w:eastAsia="Tinos" w:cs="Tinos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отрудником, ответственным за работу по профилактике коррупционных и иных правонарушений, организовано доведение до сведения государственных гражданских служащих нормативных правовых актов о противодействии коррупции. Оказывается консультативная помощь по 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опросам соблюдения требований к служебному поведению, связанных с прохождением государственной гражданской службы.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/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Случаев возникновения конфликта интересов, одной из сторон которого являются государственные гражданские служащие, комитета в первом полугодии 2025 года не выявлено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мероприятий, посвященных международному дню по борьбе с коррупцией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9 декабря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Проведение мероприятия, посвященного Международному дню борьбы с коррупцией, планируется на 9 декабря 2025 года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Обеспечение предоставления сведений в реестр лиц, уволенных в связи с утратой доверия, в соответствии с Постановлением Правительства Российской Федерации от 5 марта 2018 года № 228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по мере необходимости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в реестр лиц, уволенных в связи с утратой доверия, в соответствии с постановлением Правительства Российской Федерации  от 5 марта 2018 года № 228 комитетом в первом полугодии 2025 года не направлялись в связи с отсутствием оснований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Обеспечение предоставления лицами, замещающими должности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государственной гражданской службы,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претендующими на замещение указанных должностей, сведений о своих доходах,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расходах, об имуществе и обязательствах имущественного характера, а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также супруг (супругов) и несовершеннолетних детей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30 апреля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представлены в срок, установленный законодательством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Анализ сведений о доходах, расходах, об имуществе и обязательствах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имущественного характера, представленных в соответствии с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нормативными правовыми актами Российской Федерации, подготовка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доклада об итогах декларационной кампании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 сентября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Проводится работа по выполнению данного мероприятия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анализа состояния антикоррупционной работы (в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соответствии с показателями эффективности деятельности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подразделений (специалистов), в функции которых включена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профилактика коррупционных правонарушений,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в соответствии с методикой, утвержденной постановлением П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равительства Оренбургской области от 29.04.2022 № 406-пп.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1 марта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Перечень показателей оценки эффективности деятельности подразделений (специалистов) кадровых служб по профилактике коррупционных и иных правонарушений в комитете за 2024 год направлен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комитет по профилактике коррупционных правонарушений Оренбургской области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24 февраля 2025 года              № 43/02-21/218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Анализ деятельности комиссии по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соблюдению требований к служебному поведению и урегулированию конфликта интересов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первом полугодии 2025 года заседания комиссии по соблюдению требований к служебному поведению государственных гражданских служащих и урегулированию конфликта интересов комитета не проводились в связи с отсутствием оснований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анализа публикаций антикоррупционной тематики в средствах массовой информации, интернет-ресурсах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30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Анализ публикаций антикоррупционной тематики в средствах массовой информации, интернет-ресурсах проводится. Оснований для реагирования не выявлено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88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III.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Антикоррупционное просвещение, обучение и воспитание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Разработка методических рекомендаций и памяток по реализации антикоррупционного законодательства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зработана презентация «Представление сведений о доходах, расходах, об имуществе и обязательствах имущественного характера и порядка заполнения «Справки БК» в 2025 году (за отчетный 2024 год)», памятка «Личный кабинет государственного гражданского служащего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предоставляет возможность получить дополнительную информацию в сфере противодействия коррупции»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Повышение квалификации служащих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комитета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, в должностные обязанности которых входит участие в противодействии коррупции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Мероприятие в первом квартале 2025 года не проводилось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Обучение служащих комитата, впервые поступивших на государственную гражданскую службу для замещения должностей, включенных в перечень должностей комитета, по образовательным программам в области противодействия коррупции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не позднее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1 года со дня поступления на государственную гражданскую службу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Обучение государственных гражданских служащих комитета, впервые поступивших на государственную гражданскую службу, не проводилось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конференций (семинаров, круглых столов) по антикоррупционной тематике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первом полугодии           2025 года проведены обучающие мероприятия среди государственных гражданских служащих на темы: «Представление сведений об адресах сайтов и (или) страниц сайтов в сети «Интернет»; «Представление сведений о доходах, расходах, об им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щ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естве и обязательствах имущественного характера и порядка заполнения «Справки БК» в 2025 году (за отчетный 2024 год)»; совещание по теме: «Рассмотрение подготовленного комитетом по профилактике коррупционных правонарушений Оренбургской области обзора уголо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вных дел по преступлениям коррупционной направленности за 2023-2024 гг.»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занятий (профилактических бесед) с вновь принятыми служащими комитета по вопросам прохождения государственной гражданской службы, этики и служебного поведения, возникновения конфликта интересов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не позднее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1 месяца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со дня поступления на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государственную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гражданскую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службу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r>
              <w:rPr>
                <w:rFonts w:ascii="Tinos" w:hAnsi="Tinos" w:cs="Tinos"/>
                <w:sz w:val="24"/>
                <w:szCs w:val="24"/>
              </w:rPr>
              <w:t xml:space="preserve">Организовано проведение профилактических бесед с вновь принятыми государственными гражданскими служащими по вопросам прохождения государственной гражданской службы, этики и служебного поведения, а также возникновения конфликта интересов. 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Государственные гражданские служащие ознакомлены под роспись с   нормативными документами комитета, регламентирующими вопросы предупреждения и противодействия коррупции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88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IV. Противодействие коррупции в сфере закупок товаров, работ, услуг для обеспечения государственных и муниципальных нужд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Представление служащими комитета, участвующими в осуществлении закупок, декларации о возможной личной заинтересованности.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 ноября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r>
              <w:rPr>
                <w:rFonts w:ascii="Tinos" w:hAnsi="Tinos" w:cs="Tinos"/>
                <w:sz w:val="24"/>
                <w:szCs w:val="24"/>
              </w:rPr>
              <w:t xml:space="preserve">С целью предотвращения конфликта интересов в сфере закупок товаров, работ, услуг для государственных и муниципальных нужд в комитете утверждена форма декларации об отсутствии конфликта интересов. 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Лица участвующие в осуществлении закупок товаров, работ, услуг ежегодно предоставляют декларации об отсутствии конфликта интересов в срок до 1 ноября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Проведение проверок на наличие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аффилированности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лиц, участвующих в осуществл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ении закупок товаров, работ, услуг для обеспечения государственных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в рамках проведения конкурсных процедур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В первом полугодии 2025 года конкурсные процедуры не проводились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88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V. Обеспечение прозрачности деятельности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комитета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Обеспечение функционирования «телефона доверия», «горячей линии», интернет-приемной,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30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contextualSpacing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официальном сайте комитета ф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ункционирует интернет-приемная (обращение граждан).  Граждане имеют возможность подать заявление в комитет на бумажном носителе и в форме электронного документа.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В разделе «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Противодействие коррупции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» размещены номер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телефона и адрес электронной почты, по которым  можно сообщить о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фактах коррупционных проявлений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Размещение на официальном сайте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комитета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в информационно-телекоммуникационной сети Интернет ежегодных отчетов о реализации планов мероприятий по противодействию коррупции в комитете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15 января,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до 15 июля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Размещаются на официальном сайте комитета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88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VI.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Привлечение институтов гражданского общества к работе по противодействию коррупции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Привлечение членов общественного совета при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комитете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к осуществлению контроля за выполнением мероприятий по противодействию коррупции, предусмотренных соответствующими планами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Члены общественного совета осуществляют общественный контроль за деятельностью комитета по вопросам антикоррупционной работы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деятельности по формированию в комитете отрицательного отношения к коррупции 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Представители общественного совета при комитете, учебных заведений участвуют в заседаниях комиссии по соблюдению требований к служебному поведению государственных гражданских служащих комитета и урегулированию конфликта интересов.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Представители общественного совета при комитете участвуют в обсуждении проектов правовых актов комитета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8"/>
              <w:numPr>
                <w:ilvl w:val="0"/>
                <w:numId w:val="6"/>
              </w:numPr>
              <w:contextualSpacing/>
              <w:ind w:left="460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Осуществление информационной поддержки программ, проектов, акций и других инициатив в сфере противодействия коррупции, проводимых институтами гражданского общества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до 15 декабря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отдел организаци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онно-кадровой работы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Мероприятия по данному направлению не проводились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line="240" w:lineRule="auto"/>
        <w:shd w:val="clear" w:color="auto" w:fill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6840" w:h="11900" w:orient="landscape"/>
      <w:pgMar w:top="1134" w:right="1134" w:bottom="851" w:left="1134" w:header="556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3612623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35</w:t>
        </w:r>
        <w:r>
          <w:fldChar w:fldCharType="end"/>
        </w:r>
        <w:r/>
      </w:p>
    </w:sdtContent>
  </w:sdt>
  <w:p>
    <w:pPr>
      <w:pStyle w:val="896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/>
    <w:r/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74" w:hanging="31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3360" w:hanging="31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08" w:hanging="3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56" w:hanging="3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04" w:hanging="3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52" w:hanging="3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00" w:hanging="3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48" w:hanging="3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97" w:hanging="31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" w:hanging="567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00" w:hanging="56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8" w:hanging="56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5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26" w:hanging="5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5" w:hanging="5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44" w:hanging="5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53" w:hanging="5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62" w:hanging="56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43" w:hanging="487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2"/>
      <w:numFmt w:val="upperRoman"/>
      <w:isLgl w:val="false"/>
      <w:suff w:val="tab"/>
      <w:lvlText w:val="%2."/>
      <w:lvlJc w:val="left"/>
      <w:pPr>
        <w:ind w:left="3383" w:hanging="329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76" w:hanging="32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72" w:hanging="32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68" w:hanging="32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4" w:hanging="32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61" w:hanging="32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57" w:hanging="32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153" w:hanging="32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74" w:hanging="31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3360" w:hanging="31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08" w:hanging="3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56" w:hanging="3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04" w:hanging="3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52" w:hanging="3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00" w:hanging="3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48" w:hanging="3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97" w:hanging="31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6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38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0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2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4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6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98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0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2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1"/>
    <w:next w:val="891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2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1"/>
    <w:next w:val="891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2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2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2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2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2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2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character" w:styleId="737">
    <w:name w:val="Title Char"/>
    <w:basedOn w:val="892"/>
    <w:link w:val="897"/>
    <w:uiPriority w:val="10"/>
    <w:rPr>
      <w:sz w:val="48"/>
      <w:szCs w:val="48"/>
    </w:rPr>
  </w:style>
  <w:style w:type="paragraph" w:styleId="738">
    <w:name w:val="Subtitle"/>
    <w:basedOn w:val="891"/>
    <w:next w:val="891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2"/>
    <w:link w:val="738"/>
    <w:uiPriority w:val="11"/>
    <w:rPr>
      <w:sz w:val="24"/>
      <w:szCs w:val="24"/>
    </w:rPr>
  </w:style>
  <w:style w:type="paragraph" w:styleId="740">
    <w:name w:val="Quote"/>
    <w:basedOn w:val="891"/>
    <w:next w:val="89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1"/>
    <w:next w:val="89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2"/>
    <w:link w:val="901"/>
    <w:uiPriority w:val="99"/>
  </w:style>
  <w:style w:type="character" w:styleId="745">
    <w:name w:val="Footer Char"/>
    <w:basedOn w:val="892"/>
    <w:link w:val="903"/>
    <w:uiPriority w:val="99"/>
  </w:style>
  <w:style w:type="paragraph" w:styleId="746">
    <w:name w:val="Caption"/>
    <w:basedOn w:val="891"/>
    <w:next w:val="891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03"/>
    <w:uiPriority w:val="99"/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2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table" w:styleId="89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96">
    <w:name w:val="Body Text"/>
    <w:basedOn w:val="891"/>
    <w:uiPriority w:val="1"/>
    <w:qFormat/>
    <w:rPr>
      <w:sz w:val="28"/>
      <w:szCs w:val="28"/>
    </w:rPr>
  </w:style>
  <w:style w:type="paragraph" w:styleId="897">
    <w:name w:val="Title"/>
    <w:basedOn w:val="891"/>
    <w:uiPriority w:val="1"/>
    <w:qFormat/>
    <w:pPr>
      <w:ind w:left="115" w:right="5298"/>
      <w:jc w:val="center"/>
      <w:spacing w:before="96"/>
    </w:pPr>
    <w:rPr>
      <w:sz w:val="31"/>
      <w:szCs w:val="31"/>
    </w:rPr>
  </w:style>
  <w:style w:type="paragraph" w:styleId="898">
    <w:name w:val="List Paragraph"/>
    <w:basedOn w:val="891"/>
    <w:uiPriority w:val="1"/>
    <w:qFormat/>
    <w:pPr>
      <w:ind w:left="3360" w:hanging="20"/>
      <w:jc w:val="both"/>
    </w:pPr>
  </w:style>
  <w:style w:type="paragraph" w:styleId="899" w:customStyle="1">
    <w:name w:val="Table Paragraph"/>
    <w:basedOn w:val="891"/>
    <w:uiPriority w:val="1"/>
    <w:qFormat/>
  </w:style>
  <w:style w:type="table" w:styleId="900">
    <w:name w:val="Table Grid"/>
    <w:basedOn w:val="89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1">
    <w:name w:val="Header"/>
    <w:basedOn w:val="891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92"/>
    <w:link w:val="901"/>
    <w:uiPriority w:val="99"/>
    <w:rPr>
      <w:rFonts w:ascii="Times New Roman" w:hAnsi="Times New Roman" w:eastAsia="Times New Roman" w:cs="Times New Roman"/>
      <w:lang w:val="ru-RU"/>
    </w:rPr>
  </w:style>
  <w:style w:type="paragraph" w:styleId="903">
    <w:name w:val="Footer"/>
    <w:basedOn w:val="891"/>
    <w:link w:val="9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92"/>
    <w:link w:val="903"/>
    <w:uiPriority w:val="99"/>
    <w:rPr>
      <w:rFonts w:ascii="Times New Roman" w:hAnsi="Times New Roman" w:eastAsia="Times New Roman" w:cs="Times New Roman"/>
      <w:lang w:val="ru-RU"/>
    </w:rPr>
  </w:style>
  <w:style w:type="paragraph" w:styleId="905">
    <w:name w:val="Balloon Text"/>
    <w:basedOn w:val="891"/>
    <w:link w:val="90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basedOn w:val="892"/>
    <w:link w:val="905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paragraph" w:styleId="90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8" w:customStyle="1">
    <w:name w:val="Заголовок 1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9" w:customStyle="1">
    <w:name w:val="Style1"/>
    <w:uiPriority w:val="99"/>
    <w:pPr>
      <w:contextualSpacing w:val="0"/>
      <w:ind w:left="0" w:right="0" w:hanging="1008"/>
      <w:jc w:val="left"/>
      <w:keepLines w:val="0"/>
      <w:keepNext w:val="0"/>
      <w:pageBreakBefore w:val="0"/>
      <w:spacing w:before="0" w:beforeAutospacing="0" w:after="0" w:afterAutospacing="0" w:line="32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0" w:customStyle="1">
    <w:name w:val="Font Style26"/>
    <w:uiPriority w:val="99"/>
    <w:rPr>
      <w:rFonts w:ascii="Times New Roman" w:hAnsi="Times New Roman"/>
      <w:b/>
      <w:sz w:val="26"/>
    </w:rPr>
  </w:style>
  <w:style w:type="paragraph" w:styleId="911" w:customStyle="1">
    <w:name w:val="Style2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29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5D3A-9860-4FB7-8E6F-7F3F47DF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Ридель</dc:creator>
  <cp:lastModifiedBy>ridel</cp:lastModifiedBy>
  <cp:revision>47</cp:revision>
  <dcterms:created xsi:type="dcterms:W3CDTF">2020-12-01T04:53:00Z</dcterms:created>
  <dcterms:modified xsi:type="dcterms:W3CDTF">2025-07-08T11:38:15Z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2020-09-26T00:00:00Z</vt:filetime>
  </property>
</Properties>
</file>